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74" w:rsidRDefault="00F27874" w:rsidP="000E0126">
      <w:pPr>
        <w:spacing w:after="0"/>
        <w:jc w:val="center"/>
        <w:rPr>
          <w:sz w:val="32"/>
          <w:szCs w:val="32"/>
        </w:rPr>
      </w:pPr>
    </w:p>
    <w:p w:rsidR="00435307" w:rsidRPr="00C05D9F" w:rsidRDefault="00C05D9F" w:rsidP="000E0126">
      <w:pPr>
        <w:spacing w:after="0"/>
        <w:jc w:val="center"/>
        <w:rPr>
          <w:sz w:val="32"/>
          <w:szCs w:val="32"/>
        </w:rPr>
      </w:pPr>
      <w:r w:rsidRPr="00C05D9F">
        <w:rPr>
          <w:sz w:val="32"/>
          <w:szCs w:val="32"/>
        </w:rPr>
        <w:t>Townes at Brookwood I</w:t>
      </w:r>
    </w:p>
    <w:p w:rsidR="00C05D9F" w:rsidRDefault="00C05D9F" w:rsidP="000E0126">
      <w:pPr>
        <w:spacing w:after="0"/>
        <w:jc w:val="center"/>
        <w:rPr>
          <w:sz w:val="32"/>
          <w:szCs w:val="32"/>
        </w:rPr>
      </w:pPr>
      <w:r w:rsidRPr="00C05D9F">
        <w:rPr>
          <w:sz w:val="32"/>
          <w:szCs w:val="32"/>
        </w:rPr>
        <w:t>Schedule of Fines</w:t>
      </w:r>
    </w:p>
    <w:p w:rsidR="000E0126" w:rsidRPr="00C05D9F" w:rsidRDefault="000E0126" w:rsidP="000E0126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9355" w:type="dxa"/>
        <w:tblLayout w:type="fixed"/>
        <w:tblLook w:val="05A0" w:firstRow="1" w:lastRow="0" w:firstColumn="1" w:lastColumn="1" w:noHBand="0" w:noVBand="1"/>
      </w:tblPr>
      <w:tblGrid>
        <w:gridCol w:w="4225"/>
        <w:gridCol w:w="1800"/>
        <w:gridCol w:w="1710"/>
        <w:gridCol w:w="1620"/>
      </w:tblGrid>
      <w:tr w:rsidR="00C05D9F" w:rsidTr="000E0126">
        <w:trPr>
          <w:trHeight w:val="502"/>
        </w:trPr>
        <w:tc>
          <w:tcPr>
            <w:tcW w:w="4225" w:type="dxa"/>
          </w:tcPr>
          <w:p w:rsidR="00C05D9F" w:rsidRPr="000E0126" w:rsidRDefault="00C05D9F" w:rsidP="000E01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126">
              <w:rPr>
                <w:rFonts w:ascii="Calibri" w:hAnsi="Calibri" w:cs="Calibri"/>
                <w:b/>
                <w:bCs/>
                <w:sz w:val="24"/>
                <w:szCs w:val="24"/>
              </w:rPr>
              <w:t>Violation Description</w:t>
            </w:r>
          </w:p>
          <w:p w:rsidR="00C05D9F" w:rsidRPr="000E0126" w:rsidRDefault="00C05D9F" w:rsidP="000E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0E01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126">
              <w:rPr>
                <w:rFonts w:ascii="Calibri" w:hAnsi="Calibri" w:cs="Calibri"/>
                <w:b/>
                <w:bCs/>
                <w:sz w:val="24"/>
                <w:szCs w:val="24"/>
              </w:rPr>
              <w:t>1st Offense</w:t>
            </w:r>
          </w:p>
          <w:p w:rsidR="00C05D9F" w:rsidRPr="000E0126" w:rsidRDefault="00C05D9F" w:rsidP="000E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 w:rsidP="000E01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126">
              <w:rPr>
                <w:rFonts w:ascii="Calibri" w:hAnsi="Calibri" w:cs="Calibri"/>
                <w:b/>
                <w:bCs/>
                <w:sz w:val="24"/>
                <w:szCs w:val="24"/>
              </w:rPr>
              <w:t>2nd Offense</w:t>
            </w:r>
          </w:p>
          <w:p w:rsidR="00C05D9F" w:rsidRPr="000E0126" w:rsidRDefault="00C05D9F" w:rsidP="000E0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05D9F" w:rsidRPr="000E0126" w:rsidRDefault="00C05D9F" w:rsidP="000E01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126">
              <w:rPr>
                <w:rFonts w:ascii="Calibri" w:hAnsi="Calibri" w:cs="Calibri"/>
                <w:b/>
                <w:bCs/>
                <w:sz w:val="24"/>
                <w:szCs w:val="24"/>
              </w:rPr>
              <w:t>3rd Offense</w:t>
            </w:r>
          </w:p>
          <w:p w:rsidR="00C05D9F" w:rsidRPr="000E0126" w:rsidRDefault="00C05D9F" w:rsidP="000E0126">
            <w:pPr>
              <w:jc w:val="center"/>
              <w:rPr>
                <w:sz w:val="24"/>
                <w:szCs w:val="24"/>
              </w:rPr>
            </w:pPr>
          </w:p>
        </w:tc>
      </w:tr>
      <w:tr w:rsidR="000E0126" w:rsidRPr="000E0126" w:rsidTr="000E0126">
        <w:trPr>
          <w:trHeight w:val="1231"/>
        </w:trPr>
        <w:tc>
          <w:tcPr>
            <w:tcW w:w="4225" w:type="dxa"/>
          </w:tcPr>
          <w:p w:rsidR="00F27874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 xml:space="preserve">Violation of Parking Policy </w:t>
            </w:r>
          </w:p>
          <w:p w:rsidR="00C05D9F" w:rsidRPr="000E0126" w:rsidRDefault="00F27874" w:rsidP="00C05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</w:t>
            </w:r>
            <w:r w:rsidR="00C05D9F" w:rsidRPr="000E0126">
              <w:rPr>
                <w:rFonts w:cstheme="minorHAnsi"/>
                <w:sz w:val="24"/>
                <w:szCs w:val="24"/>
              </w:rPr>
              <w:t>er Art IV, Sec.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05D9F" w:rsidRPr="000E0126">
              <w:rPr>
                <w:rFonts w:cstheme="minorHAnsi"/>
                <w:sz w:val="24"/>
                <w:szCs w:val="24"/>
              </w:rPr>
              <w:t>4 Par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C05D9F" w:rsidRPr="000E0126">
              <w:rPr>
                <w:rFonts w:cstheme="minorHAnsi"/>
                <w:sz w:val="24"/>
                <w:szCs w:val="24"/>
              </w:rPr>
              <w:t>(d) vehicle is also subject to towing)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  <w:tc>
          <w:tcPr>
            <w:tcW w:w="162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$200</w:t>
            </w:r>
          </w:p>
        </w:tc>
      </w:tr>
      <w:tr w:rsidR="000E0126" w:rsidRPr="000E0126" w:rsidTr="000E0126">
        <w:trPr>
          <w:trHeight w:val="739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Failure to follow Pet Policy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  <w:tc>
          <w:tcPr>
            <w:tcW w:w="162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$200</w:t>
            </w:r>
          </w:p>
        </w:tc>
      </w:tr>
      <w:tr w:rsidR="000E0126" w:rsidRPr="000E0126" w:rsidTr="000E0126">
        <w:trPr>
          <w:trHeight w:val="748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Violation of Trash Container Policy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</w:t>
            </w:r>
          </w:p>
        </w:tc>
        <w:tc>
          <w:tcPr>
            <w:tcW w:w="162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0E0126" w:rsidRPr="000E0126" w:rsidTr="000E0126">
        <w:trPr>
          <w:trHeight w:val="748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Destruction of Common Property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$250 + cost of repair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</w:t>
            </w:r>
            <w:r w:rsidRPr="000E0126">
              <w:rPr>
                <w:rFonts w:cstheme="minorHAnsi"/>
                <w:sz w:val="24"/>
                <w:szCs w:val="24"/>
              </w:rPr>
              <w:t>0</w:t>
            </w:r>
            <w:r w:rsidRPr="000E0126">
              <w:rPr>
                <w:rFonts w:cstheme="minorHAnsi"/>
                <w:sz w:val="24"/>
                <w:szCs w:val="24"/>
              </w:rPr>
              <w:t>0 + cost of repair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</w:t>
            </w:r>
            <w:r w:rsidRPr="000E0126">
              <w:rPr>
                <w:rFonts w:cstheme="minorHAnsi"/>
                <w:sz w:val="24"/>
                <w:szCs w:val="24"/>
              </w:rPr>
              <w:t>7</w:t>
            </w:r>
            <w:r w:rsidRPr="000E0126">
              <w:rPr>
                <w:rFonts w:cstheme="minorHAnsi"/>
                <w:sz w:val="24"/>
                <w:szCs w:val="24"/>
              </w:rPr>
              <w:t>50 + cost of repair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0126" w:rsidRPr="000E0126" w:rsidTr="000E0126">
        <w:trPr>
          <w:trHeight w:val="748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Alteration of exterior without approval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30</w:t>
            </w:r>
            <w:r w:rsidR="000E0126">
              <w:rPr>
                <w:rFonts w:cstheme="minorHAnsi"/>
                <w:sz w:val="24"/>
                <w:szCs w:val="24"/>
              </w:rPr>
              <w:t>-</w:t>
            </w:r>
            <w:r w:rsidRPr="000E0126">
              <w:rPr>
                <w:rFonts w:cstheme="minorHAnsi"/>
                <w:sz w:val="24"/>
                <w:szCs w:val="24"/>
              </w:rPr>
              <w:t>day notice to cure</w:t>
            </w:r>
          </w:p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$250</w:t>
            </w:r>
          </w:p>
        </w:tc>
        <w:tc>
          <w:tcPr>
            <w:tcW w:w="1620" w:type="dxa"/>
          </w:tcPr>
          <w:p w:rsidR="00C05D9F" w:rsidRPr="000E0126" w:rsidRDefault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$500</w:t>
            </w:r>
          </w:p>
        </w:tc>
      </w:tr>
      <w:tr w:rsidR="000E0126" w:rsidRPr="000E0126" w:rsidTr="000E0126">
        <w:trPr>
          <w:trHeight w:val="739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Exceeding speed limit (17 1/2 mph)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</w:t>
            </w:r>
          </w:p>
        </w:tc>
        <w:tc>
          <w:tcPr>
            <w:tcW w:w="162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0E0126" w:rsidRPr="000E0126" w:rsidTr="000E0126">
        <w:trPr>
          <w:trHeight w:val="502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Noise/Nuisance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</w:t>
            </w:r>
          </w:p>
        </w:tc>
        <w:tc>
          <w:tcPr>
            <w:tcW w:w="162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C05D9F" w:rsidRPr="000E0126" w:rsidTr="000E0126">
        <w:trPr>
          <w:trHeight w:val="748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Shooting fireworks on property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E0126">
              <w:rPr>
                <w:rFonts w:cstheme="minorHAnsi"/>
                <w:color w:val="000000"/>
                <w:sz w:val="24"/>
                <w:szCs w:val="24"/>
              </w:rPr>
              <w:t xml:space="preserve">$250 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$500</w:t>
            </w:r>
          </w:p>
        </w:tc>
        <w:tc>
          <w:tcPr>
            <w:tcW w:w="162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$750</w:t>
            </w:r>
          </w:p>
        </w:tc>
      </w:tr>
      <w:tr w:rsidR="00C05D9F" w:rsidRPr="000E0126" w:rsidTr="000E0126">
        <w:trPr>
          <w:trHeight w:val="502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Advertising or Solicitation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</w:t>
            </w:r>
          </w:p>
        </w:tc>
        <w:tc>
          <w:tcPr>
            <w:tcW w:w="162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C05D9F" w:rsidRPr="000E0126" w:rsidTr="000E0126">
        <w:trPr>
          <w:trHeight w:val="782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Rental/lease non-compliance including failure to provide copy of lease to NHE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AA63AE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$250</w:t>
            </w:r>
          </w:p>
        </w:tc>
        <w:tc>
          <w:tcPr>
            <w:tcW w:w="1620" w:type="dxa"/>
          </w:tcPr>
          <w:p w:rsidR="00C05D9F" w:rsidRPr="000E0126" w:rsidRDefault="00AA63AE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$500</w:t>
            </w:r>
          </w:p>
        </w:tc>
      </w:tr>
      <w:tr w:rsidR="00C05D9F" w:rsidRPr="000E0126" w:rsidTr="000E0126">
        <w:trPr>
          <w:trHeight w:val="431"/>
        </w:trPr>
        <w:tc>
          <w:tcPr>
            <w:tcW w:w="4225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Failure to maintain clean premises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Written Notice</w:t>
            </w:r>
          </w:p>
          <w:p w:rsidR="00C05D9F" w:rsidRPr="000E0126" w:rsidRDefault="00C05D9F" w:rsidP="00C05D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05D9F" w:rsidRPr="000E0126" w:rsidRDefault="00AA63AE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$100</w:t>
            </w:r>
          </w:p>
        </w:tc>
        <w:tc>
          <w:tcPr>
            <w:tcW w:w="1620" w:type="dxa"/>
          </w:tcPr>
          <w:p w:rsidR="00C05D9F" w:rsidRPr="000E0126" w:rsidRDefault="00AA63AE" w:rsidP="00C05D9F">
            <w:pPr>
              <w:rPr>
                <w:rFonts w:cstheme="minorHAnsi"/>
                <w:sz w:val="24"/>
                <w:szCs w:val="24"/>
              </w:rPr>
            </w:pPr>
            <w:r w:rsidRPr="000E0126">
              <w:rPr>
                <w:rFonts w:cstheme="minorHAnsi"/>
                <w:sz w:val="24"/>
                <w:szCs w:val="24"/>
              </w:rPr>
              <w:t>$200</w:t>
            </w:r>
          </w:p>
        </w:tc>
      </w:tr>
    </w:tbl>
    <w:p w:rsidR="00C05D9F" w:rsidRPr="000E0126" w:rsidRDefault="00AA63AE">
      <w:pPr>
        <w:rPr>
          <w:rFonts w:cstheme="minorHAnsi"/>
          <w:sz w:val="24"/>
          <w:szCs w:val="24"/>
        </w:rPr>
      </w:pPr>
      <w:r w:rsidRPr="000E0126">
        <w:rPr>
          <w:rFonts w:cstheme="minorHAnsi"/>
          <w:sz w:val="24"/>
          <w:szCs w:val="24"/>
        </w:rPr>
        <w:t>All fines will be assigned to the specific townhome account and billed on the next monthly regime payment. Owners will be notified if a fine is to be levied to their account with an explanation of the violation. Any violator may request a hearing before the TAB Board of Directors to contest the fine by giving written notice of the request within ten (10) days of the fine notice to owner.</w:t>
      </w:r>
    </w:p>
    <w:p w:rsidR="00AA63AE" w:rsidRPr="000E0126" w:rsidRDefault="00AA63AE">
      <w:pPr>
        <w:rPr>
          <w:rFonts w:cstheme="minorHAnsi"/>
          <w:sz w:val="24"/>
          <w:szCs w:val="24"/>
        </w:rPr>
      </w:pPr>
    </w:p>
    <w:p w:rsidR="00AA63AE" w:rsidRPr="000E0126" w:rsidRDefault="00AA63AE">
      <w:pPr>
        <w:rPr>
          <w:rFonts w:cstheme="minorHAnsi"/>
          <w:sz w:val="24"/>
          <w:szCs w:val="24"/>
        </w:rPr>
      </w:pPr>
      <w:r w:rsidRPr="000E0126">
        <w:rPr>
          <w:rFonts w:cstheme="minorHAnsi"/>
          <w:sz w:val="24"/>
          <w:szCs w:val="24"/>
        </w:rPr>
        <w:t>Please refer to Covenants, By Laws, and Rules and Regulations</w:t>
      </w:r>
      <w:r w:rsidR="00F27874">
        <w:rPr>
          <w:rFonts w:cstheme="minorHAnsi"/>
          <w:sz w:val="24"/>
          <w:szCs w:val="24"/>
        </w:rPr>
        <w:t xml:space="preserve"> for additional information</w:t>
      </w:r>
      <w:bookmarkStart w:id="0" w:name="_GoBack"/>
      <w:bookmarkEnd w:id="0"/>
      <w:r w:rsidRPr="000E0126">
        <w:rPr>
          <w:rFonts w:cstheme="minorHAnsi"/>
          <w:sz w:val="24"/>
          <w:szCs w:val="24"/>
        </w:rPr>
        <w:t>.</w:t>
      </w:r>
    </w:p>
    <w:sectPr w:rsidR="00AA63AE" w:rsidRPr="000E0126" w:rsidSect="000E012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9F"/>
    <w:rsid w:val="000E0126"/>
    <w:rsid w:val="00435307"/>
    <w:rsid w:val="005A5588"/>
    <w:rsid w:val="00AA63AE"/>
    <w:rsid w:val="00C05D9F"/>
    <w:rsid w:val="00F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F33F"/>
  <w15:chartTrackingRefBased/>
  <w15:docId w15:val="{1090A5F2-3805-487F-81E8-415A94B7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1CBE-0E6B-4D58-A6B4-2867A16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Cindy</dc:creator>
  <cp:keywords/>
  <dc:description/>
  <cp:lastModifiedBy>Dorn, Cindy</cp:lastModifiedBy>
  <cp:revision>3</cp:revision>
  <dcterms:created xsi:type="dcterms:W3CDTF">2019-07-04T22:03:00Z</dcterms:created>
  <dcterms:modified xsi:type="dcterms:W3CDTF">2019-07-04T23:20:00Z</dcterms:modified>
</cp:coreProperties>
</file>